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895F9" w14:textId="25580557" w:rsidR="00AC7F9B" w:rsidRDefault="00000000">
      <w:pPr>
        <w:jc w:val="right"/>
        <w:rPr>
          <w:rFonts w:ascii="Titillium Web" w:eastAsia="Titillium Web" w:hAnsi="Titillium Web" w:cs="Titillium Web"/>
          <w:sz w:val="18"/>
          <w:szCs w:val="18"/>
        </w:rPr>
      </w:pPr>
      <w:r>
        <w:rPr>
          <w:rFonts w:ascii="Titillium Web" w:eastAsia="Titillium Web" w:hAnsi="Titillium Web" w:cs="Titillium Web"/>
          <w:sz w:val="18"/>
          <w:szCs w:val="18"/>
        </w:rPr>
        <w:t>Comunicato stampa</w:t>
      </w:r>
      <w:r w:rsidR="000B69F1">
        <w:rPr>
          <w:rFonts w:ascii="Titillium Web" w:eastAsia="Titillium Web" w:hAnsi="Titillium Web" w:cs="Titillium Web"/>
          <w:sz w:val="18"/>
          <w:szCs w:val="18"/>
        </w:rPr>
        <w:t xml:space="preserve"> 20</w:t>
      </w:r>
      <w:r>
        <w:rPr>
          <w:rFonts w:ascii="Titillium Web" w:eastAsia="Titillium Web" w:hAnsi="Titillium Web" w:cs="Titillium Web"/>
          <w:sz w:val="18"/>
          <w:szCs w:val="18"/>
        </w:rPr>
        <w:t>.02.2024</w:t>
      </w:r>
    </w:p>
    <w:p w14:paraId="1B7E2529" w14:textId="77777777" w:rsidR="00AC7F9B" w:rsidRDefault="00AC7F9B">
      <w:pPr>
        <w:jc w:val="center"/>
        <w:rPr>
          <w:rFonts w:ascii="Titillium Web" w:eastAsia="Titillium Web" w:hAnsi="Titillium Web" w:cs="Titillium Web"/>
          <w:b/>
          <w:sz w:val="22"/>
          <w:szCs w:val="22"/>
        </w:rPr>
      </w:pPr>
    </w:p>
    <w:p w14:paraId="5164561C" w14:textId="77777777" w:rsidR="00AC7F9B" w:rsidRDefault="00000000">
      <w:pPr>
        <w:jc w:val="center"/>
        <w:rPr>
          <w:rFonts w:ascii="Titillium Web" w:eastAsia="Titillium Web" w:hAnsi="Titillium Web" w:cs="Titillium Web"/>
          <w:b/>
          <w:sz w:val="32"/>
          <w:szCs w:val="32"/>
        </w:rPr>
      </w:pPr>
      <w:r>
        <w:rPr>
          <w:rFonts w:ascii="Titillium Web" w:eastAsia="Titillium Web" w:hAnsi="Titillium Web" w:cs="Titillium Web"/>
          <w:b/>
          <w:sz w:val="32"/>
          <w:szCs w:val="32"/>
        </w:rPr>
        <w:t>MILANO MUSEOCITY 2024</w:t>
      </w:r>
    </w:p>
    <w:p w14:paraId="11485434" w14:textId="77777777" w:rsidR="00AC7F9B" w:rsidRDefault="00000000">
      <w:pPr>
        <w:jc w:val="center"/>
        <w:rPr>
          <w:rFonts w:ascii="Titillium Web" w:eastAsia="Titillium Web" w:hAnsi="Titillium Web" w:cs="Titillium Web"/>
          <w:b/>
          <w:sz w:val="32"/>
          <w:szCs w:val="32"/>
        </w:rPr>
      </w:pPr>
      <w:r>
        <w:rPr>
          <w:rFonts w:ascii="Titillium Web" w:eastAsia="Titillium Web" w:hAnsi="Titillium Web" w:cs="Titillium Web"/>
          <w:b/>
          <w:sz w:val="32"/>
          <w:szCs w:val="32"/>
        </w:rPr>
        <w:t>1 – 5 marzo 2024</w:t>
      </w:r>
    </w:p>
    <w:p w14:paraId="1ED3152D" w14:textId="77777777" w:rsidR="00AC7F9B" w:rsidRDefault="00000000">
      <w:pPr>
        <w:jc w:val="center"/>
        <w:rPr>
          <w:rFonts w:ascii="Titillium Web" w:eastAsia="Titillium Web" w:hAnsi="Titillium Web" w:cs="Titillium Web"/>
          <w:b/>
          <w:sz w:val="32"/>
          <w:szCs w:val="32"/>
        </w:rPr>
      </w:pPr>
      <w:r>
        <w:rPr>
          <w:rFonts w:ascii="Titillium Web" w:eastAsia="Titillium Web" w:hAnsi="Titillium Web" w:cs="Titillium Web"/>
          <w:b/>
          <w:sz w:val="32"/>
          <w:szCs w:val="32"/>
        </w:rPr>
        <w:t>“Mondi a Milano” - Ottava edizione</w:t>
      </w:r>
    </w:p>
    <w:p w14:paraId="22E0215D" w14:textId="77777777" w:rsidR="00AC7F9B" w:rsidRDefault="00AC7F9B">
      <w:pPr>
        <w:jc w:val="center"/>
        <w:rPr>
          <w:rFonts w:ascii="Titillium Web" w:eastAsia="Titillium Web" w:hAnsi="Titillium Web" w:cs="Titillium Web"/>
          <w:b/>
          <w:sz w:val="22"/>
          <w:szCs w:val="22"/>
        </w:rPr>
      </w:pPr>
    </w:p>
    <w:p w14:paraId="0B6CA13D" w14:textId="77777777" w:rsidR="00AC7F9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Venerdì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1° marzo 2024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prende il via l’ottava edizione di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Milano MuseoCity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l’atteso appuntamento milanese promosso dal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Comune di Milano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in collaborazione con l’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Associazione MuseoCity ETS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che, attraverso l’organizzazione di attività mirate e interconnesse, apre le porte di musei pubblici e privati, archivi d’artista, case museo, fondazioni d’arte e musei d’impresa, non sempre accessibili al pubblico.</w:t>
      </w:r>
    </w:p>
    <w:p w14:paraId="61725A54" w14:textId="77777777" w:rsidR="00AC7F9B" w:rsidRDefault="00AC7F9B">
      <w:pPr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7B00390E" w14:textId="77777777" w:rsidR="00AC7F9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Il grande successo delle scorse edizioni ha spinto MuseoCity ad estendere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da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 xml:space="preserve">tre a cinque 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i giorni della manifestazione – dall’1 al 5 marzo – per consentire al pubblico di partecipare a un maggior numero di iniziative, oltre che per incoraggiare un'audience sempre più ampia e varia a frequentare i numerosi ed eterogenei luoghi della cultura di Milano.</w:t>
      </w:r>
    </w:p>
    <w:p w14:paraId="5299C78B" w14:textId="77777777" w:rsidR="00AC7F9B" w:rsidRDefault="00AC7F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70890A44" w14:textId="77777777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000000"/>
          <w:sz w:val="60"/>
          <w:szCs w:val="60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“Mondi a Milano”, il tema scelto per il 2024, unisce 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109 partecipanti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in un omaggio alle caratteristiche più distintive della città: la sua sensibilità nell’accogliere stimoli culturali diversi e la capacità di interconnetterli per dare vita a una cultura propria.</w:t>
      </w:r>
    </w:p>
    <w:p w14:paraId="545BCCAF" w14:textId="77777777" w:rsidR="00AC7F9B" w:rsidRDefault="00AC7F9B">
      <w:pPr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60C84AAF" w14:textId="77777777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Tra le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novità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di questa edizione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due ambiziosi progetti speciali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: “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Musei in Galleria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” e “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Musei in Vetrina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”.</w:t>
      </w:r>
    </w:p>
    <w:p w14:paraId="7EE6181A" w14:textId="77777777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“Musei in Galleria” ha l’obiettivo di creare uno scambio culturale rafforzando il concetto di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museo diffuso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uno dei valori fondanti di MuseoCity: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9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gallerie d’arte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associate ad ANGAMC – Associazione Nazionale Gallerie d’Arte Moderna e Contemporanea – ospitano un’opera d’arte o un progetto di altrettanti musei e archivi della rete di MuseoCity. Partecipano: 10 A.M. ART con Leonardo3 Museum, Cardi Gallery con MAS – Museo d’Arte e Scienza, Dep Art Gallery con l’Archivio Emilio Scanavino, M77 Gallery con la Fondazione Emilio Isgrò, NP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ArtLab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– Martelli Fine Art con Benevelli Archive, Nuova Galleria Morone con la Fondazione Piero Manzoni,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Osart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Gallery con l’Archivio Agnetti, Salamon Fine Art con la Fondazione Federica Galli, Tommaso Calabro con l’Archivio Fausta Squatriti.</w:t>
      </w:r>
    </w:p>
    <w:p w14:paraId="5C37994D" w14:textId="526CBF9A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>“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Musei in Vetrina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” illustra la creatività milanese e la stretta relazione tra arte e industria. Le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vetrine di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</w:t>
      </w:r>
      <w:proofErr w:type="gramStart"/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11</w:t>
      </w:r>
      <w:proofErr w:type="gramEnd"/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 xml:space="preserve"> brand del Made in </w:t>
      </w:r>
      <w:proofErr w:type="spellStart"/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Italy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– Alessi, Artemide, Atlas Concorde, Cassina, De Padova, Kartell, Lavazza, Marazzi, Missoni,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Molteni&amp;C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Poltrona Frau – presentano allestimenti </w:t>
      </w:r>
      <w:r>
        <w:rPr>
          <w:rFonts w:ascii="Titillium Web" w:eastAsia="Titillium Web" w:hAnsi="Titillium Web" w:cs="Titillium Web"/>
          <w:i/>
          <w:color w:val="1C2B33"/>
          <w:sz w:val="21"/>
          <w:szCs w:val="21"/>
        </w:rPr>
        <w:t xml:space="preserve">ad hoc 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che, attraverso materiali d’archivio e pezzi iconici, raccontano le rispettive culture d’impresa: un modo per rendere ancora più partecipata e capillare Milano MuseoCity e raggiungere un pubblico non abituato a entrare in spazi espositivi e museali </w:t>
      </w:r>
    </w:p>
    <w:p w14:paraId="2DCBC46C" w14:textId="07A7FB9F" w:rsidR="00AC7F9B" w:rsidRDefault="00000000" w:rsidP="000A35DC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A fare eco al progetto “Musei in Vetrina" sottolineandone il concetto che gli ha dato origine, la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mostra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“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Exposure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. Arte, culture, moda dentro e fuori la vetrina”, 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MUDEC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invita il pubblico a entrare – in modo letterale e metaforico – nella grande vetrina del museo per comprendere i molteplici significati che un oggetto può assumere in una teca espositiva. L’esposizione presenta opere di Theo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Eshetu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 Monia Ben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Hamouda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>, Mark Dion, Sam Durant, Damien Hirst in dialogo con le collezioni del museo.</w:t>
      </w:r>
    </w:p>
    <w:p w14:paraId="7D3B3DF8" w14:textId="77777777" w:rsidR="00AC7F9B" w:rsidRDefault="00AC7F9B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64C55205" w14:textId="77777777" w:rsidR="00AC7F9B" w:rsidRDefault="00000000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>La sezione “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Museo Segreto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”, che da sempre caratterizza la manifestazione di MuseoCity, svela quest'anno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63 opere inedite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o proposte in modo innovativo, e riserva un'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attenzione particolare all'infanzia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: in collaborazione 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lastRenderedPageBreak/>
        <w:t xml:space="preserve">con Alchemilla, MuseoCity promuove in diverse sedi (Archivio Atelier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Pharaildis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Van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den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Broeck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Archivio Rachele Bianchi, Casa Museo Spazio Tadini, Centro Artistico Alik Cavaliere) dei laboratori per bambini attraverso i quali i piccoli potranno raccontare il loro modo di vedere e interpretare l'arte, a partire dalle opere selezionate per Museo Segreto. </w:t>
      </w:r>
    </w:p>
    <w:p w14:paraId="00E87EA2" w14:textId="77777777" w:rsidR="00AC7F9B" w:rsidRDefault="00AC7F9B">
      <w:pPr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724EC725" w14:textId="77777777" w:rsidR="00AC7F9B" w:rsidRDefault="00000000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Tanti 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nuovi partecipanti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, tra cui Archivio Storico Fondazione Fiera Milano, Archivio Storico e Museo Diffuso Sisal, Archivio Storico Touring Club Italiano, Banco BPM, Collezione Giuseppe Iannaccone, Gio Ponti Archives, Kasa dei Libri, Palazzina Appiani - FAI, e molti altri.</w:t>
      </w:r>
    </w:p>
    <w:p w14:paraId="533ABC6B" w14:textId="77777777" w:rsidR="00AC7F9B" w:rsidRDefault="00AC7F9B">
      <w:pPr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0F5B427F" w14:textId="77777777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In occasione della manifestazione,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Palazzo Reale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presenta la mostra del fotografo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 xml:space="preserve">Alex </w:t>
      </w:r>
      <w:proofErr w:type="spellStart"/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Trusty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“Contemporary Museum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Watching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” che raccoglie circa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60 scatti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inediti. Nelle opere, realizzate fra il 2015 ed il 2023, in oltre 80 musei, Alex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Trusty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coglie tutto ciò che succede intorno all’opera d’arte e in particolare dal punto di vista dello spettatore.</w:t>
      </w:r>
    </w:p>
    <w:p w14:paraId="3B12ABA6" w14:textId="77777777" w:rsidR="00AC7F9B" w:rsidRDefault="00AC7F9B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564FCAE8" w14:textId="77777777" w:rsidR="00AC7F9B" w:rsidRDefault="00000000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L’ottava edizione di Milano MuseoCity assomiglia sempre di più a una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mostra diffusa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trasversale e interdisciplinare, in grado di spaziare dall’arte al design, dalla moda alla scienza, dall’archeologia alla letteratura, alla musica, e che restituisce quel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modello tutto milanese di cultura diffusa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che lega in modo virtuoso pubblico e privato. </w:t>
      </w:r>
    </w:p>
    <w:p w14:paraId="4E280AAF" w14:textId="77777777" w:rsidR="00AC7F9B" w:rsidRDefault="00000000">
      <w:pPr>
        <w:jc w:val="both"/>
        <w:rPr>
          <w:sz w:val="24"/>
          <w:szCs w:val="24"/>
        </w:rPr>
      </w:pP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Milano MuseoCity quest’anno si avvale del supporto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di Deutsche Bank, DWS e di MUMAC - Museo della macchina per caffè di Cimbali Group oltre che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della collaborazione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di Abbonamento Musei Lombardia/Valle d’Aosta, ANGAMC – Associazione Nazionale Gallerie d’Arte Moderna e Contemporanea, MUDE | Circuito Lombardo Musei Design,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Museimpresa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e Rete Fotografia.</w:t>
      </w:r>
    </w:p>
    <w:p w14:paraId="712EC4B2" w14:textId="77777777" w:rsidR="00AC7F9B" w:rsidRDefault="00AC7F9B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10"/>
          <w:szCs w:val="10"/>
        </w:rPr>
      </w:pPr>
    </w:p>
    <w:p w14:paraId="2A3CDACD" w14:textId="77777777" w:rsidR="00AC7F9B" w:rsidRDefault="00000000">
      <w:pPr>
        <w:shd w:val="clear" w:color="auto" w:fill="FFFFFF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>Tra le numerose iniziative si segnalano:</w:t>
      </w:r>
    </w:p>
    <w:p w14:paraId="7BA2A0F1" w14:textId="77777777" w:rsidR="00AC7F9B" w:rsidRDefault="00AC7F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29053FC7" w14:textId="77777777" w:rsidR="00AC7F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La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performance di danza contemporanea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di Stefania Tansini "L’ombelico dei limbi", 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PAC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, ispirata al drammaturgo e attore francese Antonin Artaud;</w:t>
      </w:r>
    </w:p>
    <w:p w14:paraId="496C8371" w14:textId="77777777" w:rsidR="00AC7F9B" w:rsidRDefault="00AC7F9B">
      <w:pPr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62FB7132" w14:textId="77777777" w:rsidR="00AC7F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>“Il giro del mondo in 5 Giornate”, promossa dall’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Associazione culturale Profumo di Milano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espone pezzi unici di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arte e artigianato raccolti nei più nascosti angoli del mondo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cimeli etnografici di prestigiosa fattura selezionati per restituire al pubblico l’immaginario e la fascinazione del romanzo di Jules Verne “Il giro del mondo in 80 giorni”. Gli interessanti reperti sono prestati in esclusiva da alcune Botteghe artigiane della rete di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Galleria&amp;Friends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che li custodiscono nei propri archivi storici;</w:t>
      </w:r>
    </w:p>
    <w:p w14:paraId="633281A0" w14:textId="77777777" w:rsidR="00AC7F9B" w:rsidRDefault="00AC7F9B">
      <w:pPr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23A3B7A2" w14:textId="77777777" w:rsidR="00AC7F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Il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concerto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promosso dal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Leonardo3 Museum al Conservatorio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Giuseppe Verdi, dove si possono ascoltare musiche suonate sulla riproduzione di strumenti musicali ispirati a quelli ideati dal genio di Vinci;</w:t>
      </w:r>
    </w:p>
    <w:p w14:paraId="5AC899E4" w14:textId="77777777" w:rsidR="00AC7F9B" w:rsidRDefault="00AC7F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5CC4AA13" w14:textId="77777777" w:rsidR="00AC7F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La sessione di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yoga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Museo del Novecento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>, immersi nella luce del neon di Lucio Fontana;</w:t>
      </w:r>
    </w:p>
    <w:p w14:paraId="7FBD8A78" w14:textId="77777777" w:rsidR="00AC7F9B" w:rsidRDefault="00AC7F9B">
      <w:pPr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25760931" w14:textId="77777777" w:rsidR="00AC7F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Nel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Vivaio Bicocca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, le ricercatrici del Dipartimento di Biotecnologie e Bioscienze -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Biome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Research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Team, accompagnano i visitatori alla scoperta della fitta rete di interazioni tra micro e macro organismi;</w:t>
      </w:r>
    </w:p>
    <w:p w14:paraId="3C4B7059" w14:textId="77777777" w:rsidR="00AC7F9B" w:rsidRDefault="00AC7F9B">
      <w:pPr>
        <w:rPr>
          <w:rFonts w:ascii="Titillium Web" w:eastAsia="Titillium Web" w:hAnsi="Titillium Web" w:cs="Titillium Web"/>
          <w:color w:val="1C2B33"/>
          <w:sz w:val="6"/>
          <w:szCs w:val="6"/>
        </w:rPr>
      </w:pPr>
    </w:p>
    <w:p w14:paraId="49F8D168" w14:textId="0DB0F6E6" w:rsidR="000B6DDE" w:rsidRDefault="00000000" w:rsidP="000B6D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A conclusione della manifestazione, la proiezione al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Teatro Filodrammatici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del </w:t>
      </w:r>
      <w:r>
        <w:rPr>
          <w:rFonts w:ascii="Titillium Web" w:eastAsia="Titillium Web" w:hAnsi="Titillium Web" w:cs="Titillium Web"/>
          <w:b/>
          <w:color w:val="1C2B33"/>
          <w:sz w:val="21"/>
          <w:szCs w:val="21"/>
        </w:rPr>
        <w:t>film</w:t>
      </w:r>
      <w:r>
        <w:rPr>
          <w:rFonts w:ascii="Titillium Web" w:eastAsia="Titillium Web" w:hAnsi="Titillium Web" w:cs="Titillium Web"/>
          <w:color w:val="1C2B33"/>
          <w:sz w:val="21"/>
          <w:szCs w:val="21"/>
        </w:rPr>
        <w:t xml:space="preserve"> “Mondi a Milano” dedicato al network di MuseoCity, diretto da Giovanni </w:t>
      </w:r>
      <w:proofErr w:type="spellStart"/>
      <w:r>
        <w:rPr>
          <w:rFonts w:ascii="Titillium Web" w:eastAsia="Titillium Web" w:hAnsi="Titillium Web" w:cs="Titillium Web"/>
          <w:color w:val="1C2B33"/>
          <w:sz w:val="21"/>
          <w:szCs w:val="21"/>
        </w:rPr>
        <w:t>Pitscheider</w:t>
      </w:r>
      <w:proofErr w:type="spellEnd"/>
      <w:r>
        <w:rPr>
          <w:rFonts w:ascii="Titillium Web" w:eastAsia="Titillium Web" w:hAnsi="Titillium Web" w:cs="Titillium Web"/>
          <w:color w:val="1C2B33"/>
          <w:sz w:val="21"/>
          <w:szCs w:val="21"/>
        </w:rPr>
        <w:t>, e realizzato grazie al supporto di MUMAC – Museo della macchina per caffè di Cimbali Group.</w:t>
      </w:r>
    </w:p>
    <w:p w14:paraId="366B482B" w14:textId="77777777" w:rsidR="0012503D" w:rsidRPr="000B6DDE" w:rsidRDefault="0012503D" w:rsidP="001250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</w:p>
    <w:p w14:paraId="5C785BC5" w14:textId="77777777" w:rsidR="00AC7F9B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t>Gli eventi di Milano MuseoCity 2024 saranno documentati dall'</w:t>
      </w:r>
      <w:r>
        <w:rPr>
          <w:rFonts w:ascii="Titillium Web" w:eastAsia="Titillium Web" w:hAnsi="Titillium Web" w:cs="Titillium Web"/>
          <w:b/>
          <w:sz w:val="21"/>
          <w:szCs w:val="21"/>
        </w:rPr>
        <w:t>associazione Donne Fotografe.</w:t>
      </w:r>
    </w:p>
    <w:p w14:paraId="10657B99" w14:textId="77777777" w:rsidR="00AC7F9B" w:rsidRDefault="00AC7F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tillium Web" w:eastAsia="Titillium Web" w:hAnsi="Titillium Web" w:cs="Titillium Web"/>
          <w:color w:val="000000"/>
          <w:sz w:val="10"/>
          <w:szCs w:val="10"/>
        </w:rPr>
      </w:pPr>
    </w:p>
    <w:p w14:paraId="4FFBD149" w14:textId="73309859" w:rsidR="00AC7F9B" w:rsidRDefault="00000000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  <w:r>
        <w:rPr>
          <w:rFonts w:ascii="Titillium Web" w:eastAsia="Titillium Web" w:hAnsi="Titillium Web" w:cs="Titillium Web"/>
          <w:sz w:val="21"/>
          <w:szCs w:val="21"/>
        </w:rPr>
        <w:lastRenderedPageBreak/>
        <w:t xml:space="preserve">È possibile scaricare il programma completo di Milano MuseoCity 2024, consultare le schede di approfondimento della sezione “Museo Segreto” e dei due progetti speciali dal </w:t>
      </w:r>
      <w:r>
        <w:rPr>
          <w:rFonts w:ascii="Titillium Web" w:eastAsia="Titillium Web" w:hAnsi="Titillium Web" w:cs="Titillium Web"/>
          <w:b/>
          <w:sz w:val="21"/>
          <w:szCs w:val="21"/>
        </w:rPr>
        <w:t>sito di MuseoCity</w:t>
      </w:r>
      <w:r>
        <w:rPr>
          <w:rFonts w:ascii="Titillium Web" w:eastAsia="Titillium Web" w:hAnsi="Titillium Web" w:cs="Titillium Web"/>
          <w:sz w:val="21"/>
          <w:szCs w:val="21"/>
        </w:rPr>
        <w:t xml:space="preserve">: www.museocity.it. Presso le istituzioni partecipanti, le gallerie e i </w:t>
      </w:r>
      <w:proofErr w:type="spellStart"/>
      <w:r>
        <w:rPr>
          <w:rFonts w:ascii="Titillium Web" w:eastAsia="Titillium Web" w:hAnsi="Titillium Web" w:cs="Titillium Web"/>
          <w:sz w:val="21"/>
          <w:szCs w:val="21"/>
        </w:rPr>
        <w:t>flagship</w:t>
      </w:r>
      <w:proofErr w:type="spellEnd"/>
      <w:r>
        <w:rPr>
          <w:rFonts w:ascii="Titillium Web" w:eastAsia="Titillium Web" w:hAnsi="Titillium Web" w:cs="Titillium Web"/>
          <w:sz w:val="21"/>
          <w:szCs w:val="21"/>
        </w:rPr>
        <w:t xml:space="preserve"> store sono inoltre disponibili delle mappe gratuite.</w:t>
      </w:r>
    </w:p>
    <w:p w14:paraId="1590F29F" w14:textId="77777777" w:rsidR="0012503D" w:rsidRPr="0012503D" w:rsidRDefault="0012503D">
      <w:pPr>
        <w:jc w:val="both"/>
        <w:rPr>
          <w:rFonts w:ascii="Titillium Web" w:eastAsia="Titillium Web" w:hAnsi="Titillium Web" w:cs="Titillium Web"/>
          <w:color w:val="1C2B33"/>
          <w:sz w:val="21"/>
          <w:szCs w:val="21"/>
        </w:rPr>
      </w:pPr>
    </w:p>
    <w:p w14:paraId="09BB6B97" w14:textId="74B88DEF" w:rsidR="00AC7F9B" w:rsidRDefault="00884B66">
      <w:pPr>
        <w:jc w:val="both"/>
        <w:rPr>
          <w:rFonts w:ascii="Titillium Web" w:eastAsia="Titillium Web" w:hAnsi="Titillium Web" w:cs="Titillium Web"/>
          <w:b/>
          <w:color w:val="000000"/>
          <w:sz w:val="21"/>
          <w:szCs w:val="21"/>
          <w:u w:val="single"/>
        </w:rPr>
      </w:pPr>
      <w:r>
        <w:rPr>
          <w:rFonts w:ascii="Titillium Web" w:eastAsia="Titillium Web" w:hAnsi="Titillium Web" w:cs="Titillium Web"/>
          <w:b/>
          <w:noProof/>
          <w:color w:val="000000"/>
          <w:sz w:val="21"/>
          <w:szCs w:val="21"/>
          <w:u w:val="single"/>
        </w:rPr>
        <w:drawing>
          <wp:inline distT="0" distB="0" distL="0" distR="0" wp14:anchorId="1B99B87B" wp14:editId="2679FC13">
            <wp:extent cx="6120130" cy="2656205"/>
            <wp:effectExtent l="0" t="0" r="0" b="0"/>
            <wp:docPr id="1394676116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676116" name="Immagine 2" descr="Immagine che contiene testo, schermata, Carattere, log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AEAF7" w14:textId="77777777" w:rsidR="0012503D" w:rsidRDefault="0012503D">
      <w:pPr>
        <w:jc w:val="both"/>
        <w:rPr>
          <w:rFonts w:ascii="Titillium Web" w:eastAsia="Titillium Web" w:hAnsi="Titillium Web" w:cs="Titillium Web"/>
          <w:b/>
          <w:color w:val="000000"/>
          <w:sz w:val="21"/>
          <w:szCs w:val="21"/>
          <w:u w:val="single"/>
        </w:rPr>
      </w:pPr>
    </w:p>
    <w:p w14:paraId="761B3666" w14:textId="77777777" w:rsidR="00AC7F9B" w:rsidRDefault="00000000">
      <w:pPr>
        <w:jc w:val="both"/>
        <w:rPr>
          <w:sz w:val="21"/>
          <w:szCs w:val="21"/>
        </w:rPr>
      </w:pPr>
      <w:r>
        <w:rPr>
          <w:rFonts w:ascii="Titillium Web" w:eastAsia="Titillium Web" w:hAnsi="Titillium Web" w:cs="Titillium Web"/>
          <w:b/>
          <w:color w:val="000000"/>
          <w:sz w:val="21"/>
          <w:szCs w:val="21"/>
          <w:u w:val="single"/>
        </w:rPr>
        <w:t>Info al pubblico</w:t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color w:val="0000FF"/>
          <w:sz w:val="21"/>
          <w:szCs w:val="21"/>
          <w:u w:val="single"/>
        </w:rPr>
        <w:t>info@museocity.it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| </w:t>
      </w:r>
      <w:r>
        <w:rPr>
          <w:rFonts w:ascii="Titillium Web" w:eastAsia="Titillium Web" w:hAnsi="Titillium Web" w:cs="Titillium Web"/>
          <w:color w:val="0000FF"/>
          <w:sz w:val="21"/>
          <w:szCs w:val="21"/>
          <w:u w:val="single"/>
        </w:rPr>
        <w:t>www.museocity.it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 xml:space="preserve"> </w:t>
      </w:r>
    </w:p>
    <w:p w14:paraId="0D02F040" w14:textId="77777777" w:rsidR="00AC7F9B" w:rsidRPr="00884B66" w:rsidRDefault="00000000">
      <w:pPr>
        <w:ind w:right="-427"/>
        <w:rPr>
          <w:sz w:val="10"/>
          <w:szCs w:val="10"/>
          <w:lang w:val="en-US"/>
        </w:rPr>
      </w:pP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ab/>
      </w:r>
      <w:r w:rsidRPr="00884B66">
        <w:rPr>
          <w:rFonts w:ascii="Titillium Web" w:eastAsia="Titillium Web" w:hAnsi="Titillium Web" w:cs="Titillium Web"/>
          <w:color w:val="000000"/>
          <w:sz w:val="21"/>
          <w:szCs w:val="21"/>
          <w:lang w:val="en-US"/>
        </w:rPr>
        <w:t>IG @museocity | FB @museocity | LinkedIn @Associazione MuseoCity</w:t>
      </w:r>
      <w:r w:rsidRPr="00884B66">
        <w:rPr>
          <w:rFonts w:ascii="Titillium Web" w:eastAsia="Titillium Web" w:hAnsi="Titillium Web" w:cs="Titillium Web"/>
          <w:color w:val="000000"/>
          <w:sz w:val="21"/>
          <w:szCs w:val="21"/>
          <w:lang w:val="en-US"/>
        </w:rPr>
        <w:br/>
      </w:r>
    </w:p>
    <w:p w14:paraId="44C79134" w14:textId="77777777" w:rsidR="00AC7F9B" w:rsidRDefault="00000000">
      <w:pPr>
        <w:ind w:right="-427"/>
        <w:rPr>
          <w:sz w:val="21"/>
          <w:szCs w:val="21"/>
        </w:rPr>
      </w:pPr>
      <w:r>
        <w:rPr>
          <w:rFonts w:ascii="Titillium Web" w:eastAsia="Titillium Web" w:hAnsi="Titillium Web" w:cs="Titillium Web"/>
          <w:b/>
          <w:color w:val="000000"/>
          <w:sz w:val="21"/>
          <w:szCs w:val="21"/>
          <w:u w:val="single"/>
        </w:rPr>
        <w:t>Ufficio stampa MuseoCity</w:t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>NORA comunicazione</w:t>
      </w:r>
    </w:p>
    <w:p w14:paraId="371A5C72" w14:textId="77777777" w:rsidR="00AC7F9B" w:rsidRDefault="00000000">
      <w:pPr>
        <w:ind w:left="2160" w:firstLine="72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hyperlink r:id="rId9">
        <w:r>
          <w:rPr>
            <w:rFonts w:ascii="Titillium Web" w:eastAsia="Titillium Web" w:hAnsi="Titillium Web" w:cs="Titillium Web"/>
            <w:color w:val="0563C1"/>
            <w:sz w:val="21"/>
            <w:szCs w:val="21"/>
            <w:u w:val="single"/>
          </w:rPr>
          <w:t>info@noracomunicazione.it</w:t>
        </w:r>
      </w:hyperlink>
      <w:r>
        <w:rPr>
          <w:rFonts w:ascii="Titillium Web" w:eastAsia="Titillium Web" w:hAnsi="Titillium Web" w:cs="Titillium Web"/>
          <w:sz w:val="21"/>
          <w:szCs w:val="21"/>
        </w:rPr>
        <w:t xml:space="preserve"> | </w:t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>noracomunicazione.it</w:t>
      </w:r>
    </w:p>
    <w:p w14:paraId="0959521E" w14:textId="77777777" w:rsidR="00AC7F9B" w:rsidRDefault="00000000">
      <w:pPr>
        <w:ind w:left="2160" w:firstLine="72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Eleonora Caracciolo 339.8959372</w:t>
      </w:r>
    </w:p>
    <w:p w14:paraId="42AFEE10" w14:textId="77777777" w:rsidR="00AC7F9B" w:rsidRDefault="00000000">
      <w:pPr>
        <w:ind w:left="2160" w:firstLine="720"/>
        <w:jc w:val="both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Corso Buenos Aires, 23 – Milano</w:t>
      </w:r>
    </w:p>
    <w:p w14:paraId="724CB93F" w14:textId="77777777" w:rsidR="00AC7F9B" w:rsidRDefault="00000000">
      <w:pPr>
        <w:ind w:right="-427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b/>
          <w:color w:val="000000"/>
          <w:sz w:val="21"/>
          <w:szCs w:val="21"/>
          <w:u w:val="single"/>
        </w:rPr>
        <w:t>Ufficio stampa Comune di Milano</w:t>
      </w:r>
      <w:r>
        <w:rPr>
          <w:rFonts w:ascii="Titillium Web" w:eastAsia="Titillium Web" w:hAnsi="Titillium Web" w:cs="Titillium Web"/>
          <w:b/>
          <w:color w:val="000000"/>
          <w:sz w:val="21"/>
          <w:szCs w:val="21"/>
        </w:rPr>
        <w:tab/>
      </w:r>
      <w:r>
        <w:rPr>
          <w:rFonts w:ascii="Titillium Web" w:eastAsia="Titillium Web" w:hAnsi="Titillium Web" w:cs="Titillium Web"/>
          <w:color w:val="000000"/>
          <w:sz w:val="21"/>
          <w:szCs w:val="21"/>
        </w:rPr>
        <w:t>Elena Conenna</w:t>
      </w:r>
    </w:p>
    <w:p w14:paraId="046B9323" w14:textId="77777777" w:rsidR="00AC7F9B" w:rsidRDefault="00000000">
      <w:pPr>
        <w:ind w:left="2880" w:right="-427" w:firstLine="720"/>
        <w:rPr>
          <w:rFonts w:ascii="Titillium Web" w:eastAsia="Titillium Web" w:hAnsi="Titillium Web" w:cs="Titillium Web"/>
          <w:color w:val="000000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elenamaria.conenna@comune.milano.it</w:t>
      </w:r>
    </w:p>
    <w:p w14:paraId="2DF852E6" w14:textId="77777777" w:rsidR="00AC7F9B" w:rsidRDefault="00000000">
      <w:pPr>
        <w:ind w:left="2880" w:right="-427" w:firstLine="720"/>
        <w:rPr>
          <w:rFonts w:ascii="Titillium Web" w:eastAsia="Titillium Web" w:hAnsi="Titillium Web" w:cs="Titillium Web"/>
          <w:sz w:val="21"/>
          <w:szCs w:val="21"/>
        </w:rPr>
      </w:pPr>
      <w:r>
        <w:rPr>
          <w:rFonts w:ascii="Titillium Web" w:eastAsia="Titillium Web" w:hAnsi="Titillium Web" w:cs="Titillium Web"/>
          <w:color w:val="000000"/>
          <w:sz w:val="21"/>
          <w:szCs w:val="21"/>
        </w:rPr>
        <w:t>Palazzo Reale Piazza Duomo 14 –20121 Milano</w:t>
      </w:r>
    </w:p>
    <w:sectPr w:rsidR="00AC7F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7F88" w14:textId="77777777" w:rsidR="0048726E" w:rsidRDefault="0048726E">
      <w:r>
        <w:separator/>
      </w:r>
    </w:p>
  </w:endnote>
  <w:endnote w:type="continuationSeparator" w:id="0">
    <w:p w14:paraId="4A28CF6B" w14:textId="77777777" w:rsidR="0048726E" w:rsidRDefault="0048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D4C" w14:textId="77777777" w:rsidR="00AC7F9B" w:rsidRDefault="00AC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CEC2" w14:textId="77777777" w:rsidR="00AC7F9B" w:rsidRDefault="00AC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E858" w14:textId="77777777" w:rsidR="00AC7F9B" w:rsidRDefault="00AC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AE79" w14:textId="77777777" w:rsidR="0048726E" w:rsidRDefault="0048726E">
      <w:r>
        <w:separator/>
      </w:r>
    </w:p>
  </w:footnote>
  <w:footnote w:type="continuationSeparator" w:id="0">
    <w:p w14:paraId="79A912A9" w14:textId="77777777" w:rsidR="0048726E" w:rsidRDefault="0048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F80C" w14:textId="77777777" w:rsidR="00AC7F9B" w:rsidRDefault="00AC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3A0" w14:textId="1A48795D" w:rsidR="00AC7F9B" w:rsidRDefault="00C56D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"/>
      <w:rPr>
        <w:color w:val="000000"/>
      </w:rPr>
    </w:pPr>
    <w:r>
      <w:rPr>
        <w:noProof/>
        <w:color w:val="000000"/>
      </w:rPr>
      <w:drawing>
        <wp:inline distT="0" distB="0" distL="0" distR="0" wp14:anchorId="696499C2" wp14:editId="1B2865C8">
          <wp:extent cx="6120130" cy="715645"/>
          <wp:effectExtent l="0" t="0" r="0" b="8255"/>
          <wp:docPr id="615690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9022" name="Immagine 615690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5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F4D9" w14:textId="77777777" w:rsidR="00AC7F9B" w:rsidRDefault="00AC7F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50C11"/>
    <w:multiLevelType w:val="multilevel"/>
    <w:tmpl w:val="59BAA2EE"/>
    <w:lvl w:ilvl="0">
      <w:start w:val="3"/>
      <w:numFmt w:val="bullet"/>
      <w:lvlText w:val="·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3754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9B"/>
    <w:rsid w:val="000A35DC"/>
    <w:rsid w:val="000B69F1"/>
    <w:rsid w:val="000B6DDE"/>
    <w:rsid w:val="0012503D"/>
    <w:rsid w:val="004601A5"/>
    <w:rsid w:val="0048726E"/>
    <w:rsid w:val="00534755"/>
    <w:rsid w:val="00884B66"/>
    <w:rsid w:val="00AC7F9B"/>
    <w:rsid w:val="00B013B1"/>
    <w:rsid w:val="00C5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0DC6D"/>
  <w15:docId w15:val="{6CE9A6A9-77EE-4EB4-959B-A1C0534E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D41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10E"/>
  </w:style>
  <w:style w:type="paragraph" w:styleId="Pidipagina">
    <w:name w:val="footer"/>
    <w:basedOn w:val="Normale"/>
    <w:link w:val="PidipaginaCarattere"/>
    <w:uiPriority w:val="99"/>
    <w:unhideWhenUsed/>
    <w:rsid w:val="00DD41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10E"/>
  </w:style>
  <w:style w:type="paragraph" w:customStyle="1" w:styleId="Default">
    <w:name w:val="Default"/>
    <w:rsid w:val="00D07B09"/>
    <w:pPr>
      <w:autoSpaceDE w:val="0"/>
      <w:autoSpaceDN w:val="0"/>
      <w:adjustRightInd w:val="0"/>
    </w:pPr>
    <w:rPr>
      <w:rFonts w:ascii="Titillium Web" w:eastAsiaTheme="minorHAnsi" w:hAnsi="Titillium Web" w:cs="Titillium Web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07B09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6536"/>
    <w:pPr>
      <w:spacing w:line="276" w:lineRule="auto"/>
      <w:ind w:left="720"/>
      <w:contextualSpacing/>
      <w:jc w:val="both"/>
    </w:pPr>
    <w:rPr>
      <w:rFonts w:ascii="Arial" w:eastAsia="Arial" w:hAnsi="Arial" w:cs="Arial"/>
      <w:sz w:val="22"/>
      <w:szCs w:val="22"/>
      <w:lang w:val="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11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119"/>
    <w:rPr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4F6119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3363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63E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63E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3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3EA"/>
    <w:rPr>
      <w:b/>
      <w:bCs/>
    </w:rPr>
  </w:style>
  <w:style w:type="paragraph" w:styleId="Revisione">
    <w:name w:val="Revision"/>
    <w:hidden/>
    <w:uiPriority w:val="99"/>
    <w:semiHidden/>
    <w:rsid w:val="009E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oracomunicazion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/vtVy/KXhMYklfBl3MGU42X5A==">CgMxLjA4AHIhMVRvbDdVaktMVVV2dVBkT09EMG9ZRkpKcURYLU42OFgy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Anastasia Marsella</cp:lastModifiedBy>
  <cp:revision>8</cp:revision>
  <dcterms:created xsi:type="dcterms:W3CDTF">2024-02-06T12:58:00Z</dcterms:created>
  <dcterms:modified xsi:type="dcterms:W3CDTF">2024-02-19T09:07:00Z</dcterms:modified>
</cp:coreProperties>
</file>